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22F" w:rsidRDefault="00D5222F" w:rsidP="00D5222F">
      <w:pPr>
        <w:pStyle w:val="yiv9082164126msonormal"/>
        <w:shd w:val="clear" w:color="auto" w:fill="FFFFFF"/>
        <w:jc w:val="center"/>
        <w:rPr>
          <w:rFonts w:ascii="Sylfaen" w:hAnsi="Sylfaen" w:cs="Helvetica"/>
          <w:b/>
          <w:bCs/>
          <w:sz w:val="22"/>
          <w:szCs w:val="22"/>
          <w:lang w:val="en-US"/>
        </w:rPr>
      </w:pPr>
      <w:r w:rsidRPr="00431A14">
        <w:rPr>
          <w:rFonts w:ascii="Sylfaen" w:hAnsi="Sylfaen" w:cs="Helvetica"/>
          <w:b/>
          <w:bCs/>
          <w:sz w:val="22"/>
          <w:szCs w:val="22"/>
          <w:lang w:val="en-US"/>
        </w:rPr>
        <w:t>Terms of Reference</w:t>
      </w:r>
    </w:p>
    <w:p w:rsidR="00D5222F" w:rsidRPr="003B2ED7" w:rsidRDefault="00D5222F" w:rsidP="00D5222F">
      <w:pPr>
        <w:spacing w:after="0" w:line="240" w:lineRule="auto"/>
        <w:jc w:val="center"/>
        <w:rPr>
          <w:rStyle w:val="ecxs1"/>
          <w:b/>
          <w:sz w:val="30"/>
          <w:szCs w:val="30"/>
          <w:lang w:val="en-US"/>
        </w:rPr>
      </w:pPr>
      <w:r w:rsidRPr="003B2ED7">
        <w:rPr>
          <w:rStyle w:val="ecxs1"/>
          <w:b/>
          <w:sz w:val="30"/>
          <w:szCs w:val="30"/>
          <w:lang w:val="en-US"/>
        </w:rPr>
        <w:t>for the work delivered</w:t>
      </w:r>
      <w:r>
        <w:rPr>
          <w:rStyle w:val="ecxs1"/>
          <w:b/>
          <w:sz w:val="30"/>
          <w:szCs w:val="30"/>
          <w:lang w:val="en-US"/>
        </w:rPr>
        <w:t xml:space="preserve"> by the National Center for Disease Control and Public Health of</w:t>
      </w:r>
      <w:r w:rsidRPr="003B2ED7">
        <w:rPr>
          <w:rStyle w:val="ecxs1"/>
          <w:b/>
          <w:sz w:val="30"/>
          <w:szCs w:val="30"/>
          <w:lang w:val="en-US"/>
        </w:rPr>
        <w:t xml:space="preserve"> Georgia </w:t>
      </w:r>
    </w:p>
    <w:p w:rsidR="00D5222F" w:rsidRPr="003B2ED7" w:rsidRDefault="00D5222F" w:rsidP="00D5222F">
      <w:pPr>
        <w:spacing w:after="0" w:line="240" w:lineRule="auto"/>
        <w:jc w:val="center"/>
        <w:rPr>
          <w:rStyle w:val="ecxs1"/>
          <w:b/>
          <w:sz w:val="30"/>
          <w:szCs w:val="30"/>
          <w:lang w:val="en-US"/>
        </w:rPr>
      </w:pPr>
      <w:r w:rsidRPr="003B2ED7">
        <w:rPr>
          <w:rStyle w:val="ecxs1"/>
          <w:b/>
          <w:sz w:val="30"/>
          <w:szCs w:val="30"/>
          <w:lang w:val="en-US"/>
        </w:rPr>
        <w:t xml:space="preserve">in support of </w:t>
      </w:r>
      <w:r w:rsidR="008B1B4C">
        <w:rPr>
          <w:rStyle w:val="ecxs1"/>
          <w:b/>
          <w:sz w:val="30"/>
          <w:szCs w:val="30"/>
          <w:lang w:val="en-US"/>
        </w:rPr>
        <w:t xml:space="preserve">sustainable </w:t>
      </w:r>
      <w:r w:rsidRPr="003B2ED7">
        <w:rPr>
          <w:rStyle w:val="ecxs1"/>
          <w:b/>
          <w:sz w:val="30"/>
          <w:szCs w:val="30"/>
          <w:lang w:val="en-US"/>
        </w:rPr>
        <w:t xml:space="preserve">implementation/enforcement </w:t>
      </w:r>
      <w:r w:rsidR="008B1B4C">
        <w:rPr>
          <w:rStyle w:val="ecxs1"/>
          <w:b/>
          <w:sz w:val="30"/>
          <w:szCs w:val="30"/>
          <w:lang w:val="en-US"/>
        </w:rPr>
        <w:t xml:space="preserve">and further development </w:t>
      </w:r>
      <w:r w:rsidRPr="003B2ED7">
        <w:rPr>
          <w:rStyle w:val="ecxs1"/>
          <w:b/>
          <w:sz w:val="30"/>
          <w:szCs w:val="30"/>
          <w:lang w:val="en-US"/>
        </w:rPr>
        <w:t xml:space="preserve">of the </w:t>
      </w:r>
    </w:p>
    <w:p w:rsidR="00D5222F" w:rsidRPr="003B2ED7" w:rsidRDefault="00D5222F" w:rsidP="00D5222F">
      <w:pPr>
        <w:spacing w:after="0" w:line="240" w:lineRule="auto"/>
        <w:jc w:val="center"/>
        <w:rPr>
          <w:rStyle w:val="ecxs1"/>
          <w:b/>
          <w:sz w:val="30"/>
          <w:szCs w:val="30"/>
          <w:lang w:val="en-US"/>
        </w:rPr>
      </w:pPr>
      <w:r w:rsidRPr="003B2ED7">
        <w:rPr>
          <w:rStyle w:val="ecxs1"/>
          <w:b/>
          <w:sz w:val="30"/>
          <w:szCs w:val="30"/>
          <w:lang w:val="en-US"/>
        </w:rPr>
        <w:t xml:space="preserve">tobacco-control </w:t>
      </w:r>
      <w:r w:rsidR="009F1684">
        <w:rPr>
          <w:rStyle w:val="ecxs1"/>
          <w:b/>
          <w:sz w:val="30"/>
          <w:szCs w:val="30"/>
          <w:lang w:val="en-US"/>
        </w:rPr>
        <w:t>policy</w:t>
      </w:r>
      <w:r w:rsidRPr="003B2ED7">
        <w:rPr>
          <w:rStyle w:val="ecxs1"/>
          <w:b/>
          <w:sz w:val="30"/>
          <w:szCs w:val="30"/>
          <w:lang w:val="en-US"/>
        </w:rPr>
        <w:t xml:space="preserve"> that</w:t>
      </w:r>
      <w:r>
        <w:rPr>
          <w:rStyle w:val="ecxs1"/>
          <w:b/>
          <w:sz w:val="30"/>
          <w:szCs w:val="30"/>
          <w:lang w:val="en-US"/>
        </w:rPr>
        <w:t xml:space="preserve"> is in line with the FCTC 2030</w:t>
      </w:r>
    </w:p>
    <w:p w:rsidR="00D5222F" w:rsidRPr="00431A14" w:rsidRDefault="00D5222F" w:rsidP="00D5222F">
      <w:pPr>
        <w:pStyle w:val="yiv9082164126msonormal"/>
        <w:shd w:val="clear" w:color="auto" w:fill="FFFFFF"/>
        <w:jc w:val="center"/>
        <w:rPr>
          <w:rFonts w:ascii="Sylfaen" w:hAnsi="Sylfaen" w:cs="Helvetica"/>
          <w:sz w:val="22"/>
          <w:szCs w:val="22"/>
          <w:lang w:val="en-US"/>
        </w:rPr>
      </w:pPr>
    </w:p>
    <w:p w:rsidR="00E635B2" w:rsidRDefault="00E635B2" w:rsidP="00E635B2">
      <w:pPr>
        <w:rPr>
          <w:rFonts w:ascii="Sylfaen" w:hAnsi="Sylfaen" w:cs="Arial"/>
          <w:b/>
          <w:bCs/>
          <w:sz w:val="24"/>
          <w:lang w:val="en-US"/>
        </w:rPr>
      </w:pPr>
      <w:r>
        <w:rPr>
          <w:rFonts w:ascii="Sylfaen" w:hAnsi="Sylfaen" w:cs="Arial"/>
          <w:b/>
          <w:bCs/>
          <w:sz w:val="24"/>
          <w:lang w:val="en-US"/>
        </w:rPr>
        <w:t>Terms of Reference</w:t>
      </w:r>
    </w:p>
    <w:p w:rsidR="00043A64" w:rsidRDefault="00E635B2" w:rsidP="00E635B2">
      <w:pPr>
        <w:rPr>
          <w:rFonts w:ascii="Sylfaen" w:hAnsi="Sylfaen" w:cs="Arial"/>
          <w:sz w:val="24"/>
          <w:lang w:val="en-US"/>
        </w:rPr>
      </w:pPr>
      <w:r>
        <w:rPr>
          <w:rFonts w:ascii="Sylfaen" w:hAnsi="Sylfaen" w:cs="Arial"/>
          <w:sz w:val="24"/>
          <w:lang w:val="en-US"/>
        </w:rPr>
        <w:t>For the FCTC 2030 based work in Georgia that will be provided by the L. Sakvarelidze National Cent</w:t>
      </w:r>
      <w:r w:rsidR="00CB7D3B">
        <w:rPr>
          <w:rFonts w:ascii="Sylfaen" w:hAnsi="Sylfaen" w:cs="Arial"/>
          <w:sz w:val="24"/>
          <w:lang w:val="en-US"/>
        </w:rPr>
        <w:t>e</w:t>
      </w:r>
      <w:r>
        <w:rPr>
          <w:rFonts w:ascii="Sylfaen" w:hAnsi="Sylfaen" w:cs="Arial"/>
          <w:sz w:val="24"/>
          <w:lang w:val="en-US"/>
        </w:rPr>
        <w:t xml:space="preserve">r for Disease Control and Public Health to contribute activities needed for the </w:t>
      </w:r>
      <w:r w:rsidR="008B1B4C">
        <w:rPr>
          <w:rFonts w:ascii="Sylfaen" w:hAnsi="Sylfaen" w:cs="Arial"/>
          <w:sz w:val="24"/>
          <w:lang w:val="en-US"/>
        </w:rPr>
        <w:t xml:space="preserve">ensuring sustainability of </w:t>
      </w:r>
      <w:r>
        <w:rPr>
          <w:rFonts w:ascii="Sylfaen" w:hAnsi="Sylfaen" w:cs="Arial"/>
          <w:sz w:val="24"/>
          <w:lang w:val="en-US"/>
        </w:rPr>
        <w:t>enforcement of the new tobacco-control law in Georgia and implementation of FCTC.</w:t>
      </w:r>
    </w:p>
    <w:p w:rsidR="00E635B2" w:rsidRDefault="00E635B2" w:rsidP="00E635B2">
      <w:pPr>
        <w:rPr>
          <w:rFonts w:ascii="Sylfaen" w:hAnsi="Sylfaen" w:cs="Arial"/>
          <w:b/>
          <w:sz w:val="24"/>
          <w:lang w:val="en-US"/>
        </w:rPr>
      </w:pPr>
      <w:r>
        <w:rPr>
          <w:rFonts w:ascii="Sylfaen" w:hAnsi="Sylfaen" w:cs="Arial"/>
          <w:b/>
          <w:sz w:val="24"/>
          <w:lang w:val="en-US"/>
        </w:rPr>
        <w:t>Background information</w:t>
      </w:r>
    </w:p>
    <w:p w:rsidR="001964F2" w:rsidRPr="00526AD7" w:rsidRDefault="00132104" w:rsidP="009F1684">
      <w:pPr>
        <w:rPr>
          <w:rFonts w:ascii="Sylfaen" w:hAnsi="Sylfaen" w:cs="Arial"/>
          <w:sz w:val="24"/>
          <w:lang w:val="en-US"/>
        </w:rPr>
      </w:pPr>
      <w:r w:rsidRPr="00526AD7">
        <w:rPr>
          <w:rFonts w:ascii="Sylfaen" w:hAnsi="Sylfaen" w:cs="Arial"/>
          <w:sz w:val="24"/>
          <w:lang w:val="en-US"/>
        </w:rPr>
        <w:t xml:space="preserve">Georgia adopted a “new generation” tobacco control legislation in May 2017. </w:t>
      </w:r>
      <w:r w:rsidR="008B1B4C" w:rsidRPr="00526AD7">
        <w:rPr>
          <w:rFonts w:ascii="Sylfaen" w:hAnsi="Sylfaen" w:cs="Arial"/>
          <w:sz w:val="24"/>
          <w:lang w:val="en-US"/>
        </w:rPr>
        <w:t xml:space="preserve">Main </w:t>
      </w:r>
      <w:r w:rsidR="004D4613" w:rsidRPr="00526AD7">
        <w:rPr>
          <w:rFonts w:ascii="Sylfaen" w:hAnsi="Sylfaen" w:cs="Arial"/>
          <w:sz w:val="24"/>
          <w:lang w:val="en-US"/>
        </w:rPr>
        <w:t>provisions</w:t>
      </w:r>
      <w:r w:rsidR="008B1B4C" w:rsidRPr="00526AD7">
        <w:rPr>
          <w:rFonts w:ascii="Sylfaen" w:hAnsi="Sylfaen" w:cs="Arial"/>
          <w:sz w:val="24"/>
          <w:lang w:val="en-US"/>
        </w:rPr>
        <w:t xml:space="preserve"> of the law</w:t>
      </w:r>
      <w:r w:rsidRPr="00526AD7">
        <w:rPr>
          <w:rFonts w:ascii="Sylfaen" w:hAnsi="Sylfaen" w:cs="Arial"/>
          <w:sz w:val="24"/>
          <w:lang w:val="en-US"/>
        </w:rPr>
        <w:t xml:space="preserve"> </w:t>
      </w:r>
      <w:r w:rsidR="004D4613" w:rsidRPr="00526AD7">
        <w:rPr>
          <w:rFonts w:ascii="Sylfaen" w:hAnsi="Sylfaen" w:cs="Arial"/>
          <w:sz w:val="24"/>
          <w:lang w:val="en-US"/>
        </w:rPr>
        <w:t xml:space="preserve">were </w:t>
      </w:r>
      <w:r w:rsidRPr="00526AD7">
        <w:rPr>
          <w:rFonts w:ascii="Sylfaen" w:hAnsi="Sylfaen" w:cs="Arial"/>
          <w:sz w:val="24"/>
          <w:lang w:val="en-US"/>
        </w:rPr>
        <w:t xml:space="preserve">enacted </w:t>
      </w:r>
      <w:r w:rsidR="008B1B4C" w:rsidRPr="00526AD7">
        <w:rPr>
          <w:rFonts w:ascii="Sylfaen" w:hAnsi="Sylfaen" w:cs="Arial"/>
          <w:sz w:val="24"/>
          <w:lang w:val="en-US"/>
        </w:rPr>
        <w:t>since</w:t>
      </w:r>
      <w:r w:rsidRPr="00526AD7">
        <w:rPr>
          <w:rFonts w:ascii="Sylfaen" w:hAnsi="Sylfaen" w:cs="Arial"/>
          <w:sz w:val="24"/>
          <w:lang w:val="en-US"/>
        </w:rPr>
        <w:t xml:space="preserve"> May 2018. </w:t>
      </w:r>
      <w:r w:rsidR="008B1B4C" w:rsidRPr="00526AD7">
        <w:rPr>
          <w:rFonts w:ascii="Sylfaen" w:hAnsi="Sylfaen" w:cs="Arial"/>
          <w:sz w:val="24"/>
          <w:lang w:val="en-US"/>
        </w:rPr>
        <w:t xml:space="preserve">In </w:t>
      </w:r>
      <w:r w:rsidR="004D4613" w:rsidRPr="00526AD7">
        <w:rPr>
          <w:rFonts w:ascii="Sylfaen" w:hAnsi="Sylfaen" w:cs="Arial"/>
          <w:sz w:val="24"/>
          <w:lang w:val="en-US"/>
        </w:rPr>
        <w:t xml:space="preserve">the </w:t>
      </w:r>
      <w:r w:rsidR="008B1B4C" w:rsidRPr="00526AD7">
        <w:rPr>
          <w:rFonts w:ascii="Sylfaen" w:hAnsi="Sylfaen" w:cs="Arial"/>
          <w:sz w:val="24"/>
          <w:lang w:val="en-US"/>
        </w:rPr>
        <w:t xml:space="preserve">period of April 2018-March 2019 activities to implement the law </w:t>
      </w:r>
      <w:r w:rsidR="00A64EC8" w:rsidRPr="00526AD7">
        <w:rPr>
          <w:rFonts w:ascii="Sylfaen" w:hAnsi="Sylfaen" w:cs="Arial"/>
          <w:sz w:val="24"/>
          <w:lang w:val="en-US"/>
        </w:rPr>
        <w:t>were successfully</w:t>
      </w:r>
      <w:r w:rsidR="008B1B4C" w:rsidRPr="00526AD7">
        <w:rPr>
          <w:rFonts w:ascii="Sylfaen" w:hAnsi="Sylfaen" w:cs="Arial"/>
          <w:sz w:val="24"/>
          <w:lang w:val="en-US"/>
        </w:rPr>
        <w:t xml:space="preserve"> conducted with support of second yearly plan of FCTC 2030 project. </w:t>
      </w:r>
      <w:r w:rsidR="004D4613" w:rsidRPr="00526AD7">
        <w:rPr>
          <w:rFonts w:ascii="Sylfaen" w:hAnsi="Sylfaen" w:cs="Arial"/>
          <w:sz w:val="24"/>
          <w:lang w:val="en-US"/>
        </w:rPr>
        <w:t xml:space="preserve">Following this, third year workplan for April 2019-March 2020 was developed based on FCTC 2030 country strategy. It </w:t>
      </w:r>
      <w:r w:rsidR="008B1B4C" w:rsidRPr="00526AD7">
        <w:rPr>
          <w:rFonts w:ascii="Sylfaen" w:hAnsi="Sylfaen" w:cs="Arial"/>
          <w:sz w:val="24"/>
          <w:lang w:val="en-US"/>
        </w:rPr>
        <w:t>aims to</w:t>
      </w:r>
      <w:r w:rsidR="00A64EC8" w:rsidRPr="00526AD7">
        <w:rPr>
          <w:rFonts w:ascii="Sylfaen" w:hAnsi="Sylfaen" w:cs="Arial"/>
          <w:sz w:val="24"/>
          <w:lang w:val="en-US"/>
        </w:rPr>
        <w:t xml:space="preserve"> ensure sustainability of high compliance rates and further development of tobacco control policy. To provide </w:t>
      </w:r>
      <w:r w:rsidR="00E635B2" w:rsidRPr="00526AD7">
        <w:rPr>
          <w:rFonts w:ascii="Sylfaen" w:hAnsi="Sylfaen" w:cs="Arial"/>
          <w:sz w:val="24"/>
          <w:lang w:val="en-US"/>
        </w:rPr>
        <w:t xml:space="preserve">this there is needed to </w:t>
      </w:r>
      <w:r w:rsidR="00A64EC8" w:rsidRPr="00526AD7">
        <w:rPr>
          <w:rFonts w:ascii="Sylfaen" w:hAnsi="Sylfaen" w:cs="Arial"/>
          <w:sz w:val="24"/>
          <w:lang w:val="en-US"/>
        </w:rPr>
        <w:t>strengthen multisectoral governance, develop and advocate for changes in the law and updating state policy according to the FCTC, provide sustainability of enforcement and implementation systems, conduct communication campaign.</w:t>
      </w:r>
      <w:r w:rsidR="004D4613" w:rsidRPr="00526AD7">
        <w:rPr>
          <w:rFonts w:ascii="Sylfaen" w:hAnsi="Sylfaen" w:cs="Arial"/>
          <w:sz w:val="24"/>
          <w:lang w:val="en-US"/>
        </w:rPr>
        <w:t xml:space="preserve"> </w:t>
      </w:r>
      <w:r w:rsidR="002C06E5">
        <w:rPr>
          <w:rFonts w:ascii="Sylfaen" w:hAnsi="Sylfaen" w:cs="Arial"/>
          <w:sz w:val="24"/>
          <w:lang w:val="en-US"/>
        </w:rPr>
        <w:t xml:space="preserve">This plan was divided into two, due to end of BCA in December 2019 and first part was successfully implemented in period of June-December 2019. </w:t>
      </w:r>
      <w:r w:rsidR="004D4613" w:rsidRPr="00526AD7">
        <w:rPr>
          <w:rFonts w:ascii="Sylfaen" w:hAnsi="Sylfaen" w:cs="Arial"/>
          <w:sz w:val="24"/>
          <w:lang w:val="en-US"/>
        </w:rPr>
        <w:t xml:space="preserve">Recent plan is </w:t>
      </w:r>
      <w:r w:rsidR="002C06E5">
        <w:rPr>
          <w:rFonts w:ascii="Sylfaen" w:hAnsi="Sylfaen" w:cs="Arial"/>
          <w:sz w:val="24"/>
          <w:lang w:val="en-US"/>
        </w:rPr>
        <w:t>second</w:t>
      </w:r>
      <w:r w:rsidR="004D4613" w:rsidRPr="00526AD7">
        <w:rPr>
          <w:rFonts w:ascii="Sylfaen" w:hAnsi="Sylfaen" w:cs="Arial"/>
          <w:sz w:val="24"/>
          <w:lang w:val="en-US"/>
        </w:rPr>
        <w:t xml:space="preserve"> part</w:t>
      </w:r>
      <w:r w:rsidR="002C06E5">
        <w:rPr>
          <w:rFonts w:ascii="Sylfaen" w:hAnsi="Sylfaen" w:cs="Arial"/>
          <w:sz w:val="24"/>
          <w:lang w:val="en-US"/>
        </w:rPr>
        <w:t xml:space="preserve"> (continuations)</w:t>
      </w:r>
      <w:r w:rsidR="004D4613" w:rsidRPr="00526AD7">
        <w:rPr>
          <w:rFonts w:ascii="Sylfaen" w:hAnsi="Sylfaen" w:cs="Arial"/>
          <w:sz w:val="24"/>
          <w:lang w:val="en-US"/>
        </w:rPr>
        <w:t xml:space="preserve"> of the yearly plan until </w:t>
      </w:r>
      <w:r w:rsidR="002C06E5">
        <w:rPr>
          <w:rFonts w:ascii="Sylfaen" w:hAnsi="Sylfaen" w:cs="Arial"/>
          <w:sz w:val="24"/>
          <w:lang w:val="en-US"/>
        </w:rPr>
        <w:t>March 2020</w:t>
      </w:r>
      <w:r w:rsidR="004D4613" w:rsidRPr="00526AD7">
        <w:rPr>
          <w:rFonts w:ascii="Sylfaen" w:hAnsi="Sylfaen" w:cs="Arial"/>
          <w:sz w:val="24"/>
          <w:lang w:val="en-US"/>
        </w:rPr>
        <w:t>.</w:t>
      </w:r>
    </w:p>
    <w:p w:rsidR="004D4613" w:rsidRDefault="004D4613" w:rsidP="00D5222F">
      <w:pPr>
        <w:rPr>
          <w:rFonts w:ascii="Sylfaen" w:hAnsi="Sylfaen" w:cs="Arial"/>
          <w:b/>
          <w:sz w:val="24"/>
          <w:lang w:val="en-US"/>
        </w:rPr>
      </w:pPr>
    </w:p>
    <w:p w:rsidR="007D285C" w:rsidRDefault="007D285C" w:rsidP="00D5222F">
      <w:pPr>
        <w:rPr>
          <w:rFonts w:ascii="Sylfaen" w:hAnsi="Sylfaen" w:cs="Arial"/>
          <w:b/>
          <w:sz w:val="24"/>
          <w:lang w:val="en-US"/>
        </w:rPr>
      </w:pPr>
    </w:p>
    <w:p w:rsidR="00D5222F" w:rsidRPr="007D285C" w:rsidRDefault="00D5222F" w:rsidP="00D5222F">
      <w:pPr>
        <w:rPr>
          <w:rFonts w:ascii="Sylfaen" w:hAnsi="Sylfaen" w:cs="Arial"/>
          <w:b/>
          <w:sz w:val="24"/>
          <w:lang w:val="en-US"/>
        </w:rPr>
      </w:pPr>
      <w:r w:rsidRPr="007D285C">
        <w:rPr>
          <w:rFonts w:ascii="Sylfaen" w:hAnsi="Sylfaen" w:cs="Arial"/>
          <w:b/>
          <w:sz w:val="24"/>
          <w:lang w:val="en-US"/>
        </w:rPr>
        <w:lastRenderedPageBreak/>
        <w:t>Deliverables, timeline and costs</w:t>
      </w:r>
    </w:p>
    <w:tbl>
      <w:tblPr>
        <w:tblW w:w="13376" w:type="dxa"/>
        <w:tblInd w:w="108" w:type="dxa"/>
        <w:tblLook w:val="04A0" w:firstRow="1" w:lastRow="0" w:firstColumn="1" w:lastColumn="0" w:noHBand="0" w:noVBand="1"/>
      </w:tblPr>
      <w:tblGrid>
        <w:gridCol w:w="4020"/>
        <w:gridCol w:w="3704"/>
        <w:gridCol w:w="3011"/>
        <w:gridCol w:w="879"/>
        <w:gridCol w:w="1010"/>
        <w:gridCol w:w="752"/>
      </w:tblGrid>
      <w:tr w:rsidR="005075A1" w:rsidRPr="005075A1" w:rsidTr="005075A1">
        <w:trPr>
          <w:trHeight w:val="405"/>
        </w:trPr>
        <w:tc>
          <w:tcPr>
            <w:tcW w:w="10735" w:type="dxa"/>
            <w:gridSpan w:val="3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:rsidR="005075A1" w:rsidRPr="009A3B8E" w:rsidRDefault="005075A1" w:rsidP="005075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5A1" w:rsidRPr="009A3B8E" w:rsidRDefault="005075A1" w:rsidP="00507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A3B8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Timeline</w:t>
            </w:r>
          </w:p>
        </w:tc>
      </w:tr>
      <w:tr w:rsidR="005075A1" w:rsidRPr="005075A1" w:rsidTr="005075A1">
        <w:trPr>
          <w:trHeight w:val="405"/>
        </w:trPr>
        <w:tc>
          <w:tcPr>
            <w:tcW w:w="10735" w:type="dxa"/>
            <w:gridSpan w:val="3"/>
            <w:vMerge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75A1" w:rsidRPr="009A3B8E" w:rsidRDefault="005075A1" w:rsidP="00507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5A1" w:rsidRPr="009A3B8E" w:rsidRDefault="005075A1" w:rsidP="005075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A3B8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January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5A1" w:rsidRPr="009A3B8E" w:rsidRDefault="005075A1" w:rsidP="005075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A3B8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February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5A1" w:rsidRPr="009A3B8E" w:rsidRDefault="005075A1" w:rsidP="005075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A3B8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March</w:t>
            </w:r>
          </w:p>
        </w:tc>
      </w:tr>
      <w:tr w:rsidR="005075A1" w:rsidRPr="005075A1" w:rsidTr="005075A1">
        <w:trPr>
          <w:trHeight w:val="405"/>
        </w:trPr>
        <w:tc>
          <w:tcPr>
            <w:tcW w:w="10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75A1" w:rsidRPr="009A3B8E" w:rsidRDefault="005075A1" w:rsidP="00507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</w:pPr>
            <w:r w:rsidRPr="009A3B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1. Strengthening multisectoral governance and improvement of the policy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5A1" w:rsidRPr="009A3B8E" w:rsidRDefault="005075A1" w:rsidP="00507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A3B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5A1" w:rsidRPr="009A3B8E" w:rsidRDefault="005075A1" w:rsidP="00507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A3B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5A1" w:rsidRPr="009A3B8E" w:rsidRDefault="005075A1" w:rsidP="00507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A3B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5075A1" w:rsidRPr="005075A1" w:rsidTr="005075A1">
        <w:trPr>
          <w:trHeight w:val="289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5A1" w:rsidRPr="009A3B8E" w:rsidRDefault="005075A1" w:rsidP="005075A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A3B8E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NCDC management costs and technical </w:t>
            </w:r>
            <w:r w:rsidRPr="007D285C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expertise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5A1" w:rsidRPr="009A3B8E" w:rsidRDefault="005075A1" w:rsidP="005075A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A3B8E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5A1" w:rsidRPr="009A3B8E" w:rsidRDefault="005075A1" w:rsidP="005075A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A3B8E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5075A1" w:rsidRPr="009A3B8E" w:rsidRDefault="005075A1" w:rsidP="00507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A3B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5075A1" w:rsidRPr="009A3B8E" w:rsidRDefault="005075A1" w:rsidP="00507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A3B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5075A1" w:rsidRPr="009A3B8E" w:rsidRDefault="005075A1" w:rsidP="00507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A3B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5075A1" w:rsidRPr="005075A1" w:rsidTr="005075A1">
        <w:trPr>
          <w:trHeight w:val="869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5A1" w:rsidRPr="009A3B8E" w:rsidRDefault="005075A1" w:rsidP="005075A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A3B8E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Updating Tobacco Control National Strategy and Action Plan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5A1" w:rsidRPr="009A3B8E" w:rsidRDefault="005075A1" w:rsidP="005075A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A3B8E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Draft new Tobacco Control National Strategy and Action Plan and agree with the stakeholders 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5A1" w:rsidRPr="009A3B8E" w:rsidRDefault="005075A1" w:rsidP="005075A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A3B8E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Draft of the new Tobacco Control National Strategy and Action Plan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5075A1" w:rsidRPr="009A3B8E" w:rsidRDefault="005075A1" w:rsidP="00507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A3B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5075A1" w:rsidRPr="009A3B8E" w:rsidRDefault="005075A1" w:rsidP="00507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A3B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5075A1" w:rsidRPr="009A3B8E" w:rsidRDefault="005075A1" w:rsidP="00507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A3B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5075A1" w:rsidRPr="009A3B8E" w:rsidTr="005075A1">
        <w:trPr>
          <w:trHeight w:val="98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5A1" w:rsidRPr="009A3B8E" w:rsidRDefault="005075A1" w:rsidP="005075A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A3B8E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Epidemiological modeling to identify a timeline to achieve a </w:t>
            </w:r>
            <w:r w:rsidRPr="007D285C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smoke free</w:t>
            </w:r>
            <w:r w:rsidRPr="009A3B8E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Georgia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5A1" w:rsidRPr="009A3B8E" w:rsidRDefault="005075A1" w:rsidP="005075A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A3B8E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Carry out an </w:t>
            </w:r>
            <w:r w:rsidRPr="007D285C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epidemiological</w:t>
            </w:r>
            <w:r w:rsidRPr="009A3B8E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modelling for Georgia with the foreign technical assistance for identifying timeline for achieving </w:t>
            </w:r>
            <w:r w:rsidRPr="007D285C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smoke free</w:t>
            </w:r>
            <w:r w:rsidRPr="009A3B8E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Georgia  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5A1" w:rsidRPr="009A3B8E" w:rsidRDefault="005075A1" w:rsidP="005075A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A3B8E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Timeline and report of achieving smoke free status of Georgia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5075A1" w:rsidRPr="009A3B8E" w:rsidRDefault="005075A1" w:rsidP="00507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A3B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5075A1" w:rsidRPr="009A3B8E" w:rsidRDefault="005075A1" w:rsidP="00507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A3B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5075A1" w:rsidRPr="009A3B8E" w:rsidRDefault="005075A1" w:rsidP="00507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A3B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5075A1" w:rsidRPr="009A3B8E" w:rsidTr="005075A1">
        <w:trPr>
          <w:trHeight w:val="98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5A1" w:rsidRPr="009A3B8E" w:rsidRDefault="005075A1" w:rsidP="005075A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A3B8E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Advocacy to incorporate WHO FCTC implementation in Georgia’s  SDG plans and indicators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5A1" w:rsidRPr="009A3B8E" w:rsidRDefault="005075A1" w:rsidP="005075A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A3B8E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Consultative meetings with relevant ministries and international agencies to facilitate incorporation of WHO FCTC implementation in Georgia’s  SDG plans and indicators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5A1" w:rsidRPr="009A3B8E" w:rsidRDefault="005075A1" w:rsidP="005075A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A3B8E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Plan of incorporation of FCTC implementation in Georgian NSDGs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5075A1" w:rsidRPr="009A3B8E" w:rsidRDefault="005075A1" w:rsidP="00507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A3B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5075A1" w:rsidRPr="009A3B8E" w:rsidRDefault="005075A1" w:rsidP="00507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A3B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5075A1" w:rsidRPr="009A3B8E" w:rsidRDefault="005075A1" w:rsidP="00507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A3B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5075A1" w:rsidRPr="009A3B8E" w:rsidTr="005075A1">
        <w:trPr>
          <w:trHeight w:val="98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5A1" w:rsidRPr="009A3B8E" w:rsidRDefault="005075A1" w:rsidP="005075A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A3B8E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Advocacy for mandatory brief interventions, NRT </w:t>
            </w:r>
            <w:r w:rsidRPr="007D285C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availability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5A1" w:rsidRPr="009A3B8E" w:rsidRDefault="005075A1" w:rsidP="005075A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A3B8E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develop policy briefs in support of increasing access and availability of the tobacco cessation services including medications and disseminate among relevant stakeholders 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5A1" w:rsidRPr="009A3B8E" w:rsidRDefault="005075A1" w:rsidP="005075A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A3B8E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Policy briefs in support of increasing access and availability of the tobacco cessation services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5075A1" w:rsidRPr="009A3B8E" w:rsidRDefault="005075A1" w:rsidP="00507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A3B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5075A1" w:rsidRPr="009A3B8E" w:rsidRDefault="005075A1" w:rsidP="00507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A3B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5075A1" w:rsidRPr="009A3B8E" w:rsidRDefault="005075A1" w:rsidP="00507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A3B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5075A1" w:rsidRPr="005075A1" w:rsidTr="005075A1">
        <w:trPr>
          <w:trHeight w:val="405"/>
        </w:trPr>
        <w:tc>
          <w:tcPr>
            <w:tcW w:w="10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75A1" w:rsidRPr="009A3B8E" w:rsidRDefault="005075A1" w:rsidP="00507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</w:pPr>
            <w:r w:rsidRPr="009A3B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2. Ensure sustainable compliance and enforcement of acting regulations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5A1" w:rsidRPr="009A3B8E" w:rsidRDefault="005075A1" w:rsidP="00507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A3B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5A1" w:rsidRPr="009A3B8E" w:rsidRDefault="005075A1" w:rsidP="00507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A3B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5A1" w:rsidRPr="009A3B8E" w:rsidRDefault="005075A1" w:rsidP="00507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A3B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5075A1" w:rsidRPr="009A3B8E" w:rsidTr="005075A1">
        <w:trPr>
          <w:trHeight w:val="1232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5A1" w:rsidRPr="009A3B8E" w:rsidRDefault="005075A1" w:rsidP="005075A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A3B8E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Strengthening implementation and enforcement practice of the law by local governments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5A1" w:rsidRPr="009A3B8E" w:rsidRDefault="005075A1" w:rsidP="005075A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A3B8E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Meetings with local level </w:t>
            </w:r>
            <w:r w:rsidRPr="007D285C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governments</w:t>
            </w:r>
            <w:r w:rsidRPr="009A3B8E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/municipalities to improve smoke-free law compliance on municipal level and discuss opportunities of implementing WHO smoke-free city concept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5A1" w:rsidRPr="009A3B8E" w:rsidRDefault="005075A1" w:rsidP="005075A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A3B8E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Report on meetings with local government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5075A1" w:rsidRPr="009A3B8E" w:rsidRDefault="005075A1" w:rsidP="00507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A3B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5075A1" w:rsidRPr="009A3B8E" w:rsidRDefault="005075A1" w:rsidP="00507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A3B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5075A1" w:rsidRPr="009A3B8E" w:rsidRDefault="005075A1" w:rsidP="00507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A3B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5075A1" w:rsidRPr="005075A1" w:rsidTr="005075A1">
        <w:trPr>
          <w:trHeight w:val="1971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5A1" w:rsidRPr="009A3B8E" w:rsidRDefault="005075A1" w:rsidP="005075A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A3B8E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lastRenderedPageBreak/>
              <w:t xml:space="preserve">Support approval and implementation of the </w:t>
            </w:r>
            <w:r w:rsidRPr="007D285C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Normative</w:t>
            </w:r>
            <w:r w:rsidRPr="009A3B8E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Act on art. 5.3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5A1" w:rsidRPr="009A3B8E" w:rsidRDefault="005075A1" w:rsidP="005075A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A3B8E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Develop policy briefs/informational leaflets about obligations on ART.5.3 under the Tobacco Control Law of Georgia </w:t>
            </w:r>
            <w:r w:rsidRPr="007D285C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including</w:t>
            </w:r>
            <w:r w:rsidRPr="009A3B8E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obligation of approving </w:t>
            </w:r>
            <w:r w:rsidRPr="007D285C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relevant</w:t>
            </w:r>
            <w:r w:rsidRPr="009A3B8E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Normative Act and conduct targeted meetings with relevant stakeholders to </w:t>
            </w:r>
            <w:r w:rsidRPr="007D285C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catalyze</w:t>
            </w:r>
            <w:r w:rsidRPr="009A3B8E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the approval process. Training of the responsible state </w:t>
            </w:r>
            <w:r w:rsidRPr="007D285C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structures</w:t>
            </w:r>
            <w:r w:rsidRPr="009A3B8E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to implement the regulation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5A1" w:rsidRPr="009A3B8E" w:rsidRDefault="005075A1" w:rsidP="005075A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A3B8E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Endorsed Normative Act of article 5.3, Training of responsible agencies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5075A1" w:rsidRPr="009A3B8E" w:rsidRDefault="005075A1" w:rsidP="00507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A3B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5075A1" w:rsidRPr="009A3B8E" w:rsidRDefault="005075A1" w:rsidP="00507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A3B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5075A1" w:rsidRPr="009A3B8E" w:rsidRDefault="005075A1" w:rsidP="00507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A3B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5075A1" w:rsidRPr="009A3B8E" w:rsidTr="005075A1">
        <w:trPr>
          <w:trHeight w:val="289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5A1" w:rsidRPr="009A3B8E" w:rsidRDefault="005075A1" w:rsidP="005075A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A3B8E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Tobacco prevalence national survey 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5A1" w:rsidRPr="009A3B8E" w:rsidRDefault="005075A1" w:rsidP="005075A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A3B8E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Development report of the study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5A1" w:rsidRPr="009A3B8E" w:rsidRDefault="005075A1" w:rsidP="005075A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A3B8E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Report of the study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5075A1" w:rsidRPr="009A3B8E" w:rsidRDefault="005075A1" w:rsidP="00507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A3B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5075A1" w:rsidRPr="009A3B8E" w:rsidRDefault="005075A1" w:rsidP="00507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A3B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5075A1" w:rsidRPr="009A3B8E" w:rsidRDefault="005075A1" w:rsidP="00507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A3B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5075A1" w:rsidRPr="009A3B8E" w:rsidTr="005075A1">
        <w:trPr>
          <w:trHeight w:val="405"/>
        </w:trPr>
        <w:tc>
          <w:tcPr>
            <w:tcW w:w="10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75A1" w:rsidRPr="009A3B8E" w:rsidRDefault="005075A1" w:rsidP="00507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</w:pPr>
            <w:r w:rsidRPr="009A3B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3. Communication campaign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5A1" w:rsidRPr="009A3B8E" w:rsidRDefault="005075A1" w:rsidP="00507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A3B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5A1" w:rsidRPr="009A3B8E" w:rsidRDefault="005075A1" w:rsidP="00507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A3B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5A1" w:rsidRPr="009A3B8E" w:rsidRDefault="005075A1" w:rsidP="00507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A3B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5075A1" w:rsidRPr="009A3B8E" w:rsidTr="005075A1">
        <w:trPr>
          <w:trHeight w:val="739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5A1" w:rsidRPr="009A3B8E" w:rsidRDefault="005075A1" w:rsidP="005075A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A3B8E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Conduct communication campaign for quit smoking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5A1" w:rsidRPr="009A3B8E" w:rsidRDefault="005075A1" w:rsidP="005075A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A3B8E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Conduct campaign for quit smoking </w:t>
            </w:r>
            <w:r w:rsidRPr="007D285C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according</w:t>
            </w:r>
            <w:r w:rsidRPr="009A3B8E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to the plan prepared in previous FCTC 2030 plan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5A1" w:rsidRPr="009A3B8E" w:rsidRDefault="005075A1" w:rsidP="005075A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A3B8E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Communication </w:t>
            </w:r>
            <w:r w:rsidRPr="007D285C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plan</w:t>
            </w:r>
            <w:r w:rsidRPr="009A3B8E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and report of its implementation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5075A1" w:rsidRPr="009A3B8E" w:rsidRDefault="005075A1" w:rsidP="00507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A3B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5075A1" w:rsidRPr="009A3B8E" w:rsidRDefault="005075A1" w:rsidP="00507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A3B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5075A1" w:rsidRPr="009A3B8E" w:rsidRDefault="005075A1" w:rsidP="00507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A3B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5075A1" w:rsidRPr="009A3B8E" w:rsidTr="005075A1">
        <w:trPr>
          <w:trHeight w:val="362"/>
        </w:trPr>
        <w:tc>
          <w:tcPr>
            <w:tcW w:w="10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5A1" w:rsidRPr="009A3B8E" w:rsidRDefault="005075A1" w:rsidP="00507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</w:pPr>
            <w:r w:rsidRPr="009A3B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Total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5A1" w:rsidRPr="009A3B8E" w:rsidRDefault="005075A1" w:rsidP="00507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A3B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5A1" w:rsidRPr="009A3B8E" w:rsidRDefault="005075A1" w:rsidP="00507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A3B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5A1" w:rsidRPr="009A3B8E" w:rsidRDefault="005075A1" w:rsidP="00507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9A3B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</w:tbl>
    <w:p w:rsidR="009A3B8E" w:rsidRDefault="009A3B8E" w:rsidP="00D5222F">
      <w:pPr>
        <w:rPr>
          <w:rFonts w:ascii="Sylfaen" w:hAnsi="Sylfaen" w:cs="Arial"/>
          <w:b/>
          <w:sz w:val="24"/>
          <w:highlight w:val="yellow"/>
          <w:lang w:val="en-US"/>
        </w:rPr>
      </w:pPr>
    </w:p>
    <w:p w:rsidR="00D5222F" w:rsidRPr="007D285C" w:rsidRDefault="00D5222F" w:rsidP="00D5222F">
      <w:pPr>
        <w:pStyle w:val="yiv9082164126msonormal"/>
        <w:shd w:val="clear" w:color="auto" w:fill="FFFFFF"/>
        <w:jc w:val="both"/>
        <w:rPr>
          <w:rFonts w:ascii="Sylfaen" w:hAnsi="Sylfaen" w:cs="Helvetica"/>
          <w:sz w:val="22"/>
          <w:szCs w:val="22"/>
          <w:lang w:val="en-US"/>
        </w:rPr>
      </w:pPr>
      <w:r w:rsidRPr="007D285C">
        <w:rPr>
          <w:rFonts w:ascii="Sylfaen" w:hAnsi="Sylfaen" w:cs="Helvetica"/>
          <w:b/>
          <w:bCs/>
          <w:sz w:val="22"/>
          <w:szCs w:val="22"/>
          <w:lang w:val="en-US"/>
        </w:rPr>
        <w:t>Duration</w:t>
      </w:r>
      <w:r w:rsidRPr="007D285C">
        <w:rPr>
          <w:rFonts w:ascii="Sylfaen" w:hAnsi="Sylfaen" w:cs="Helvetica"/>
          <w:sz w:val="22"/>
          <w:szCs w:val="22"/>
          <w:lang w:val="ka-GE"/>
        </w:rPr>
        <w:t xml:space="preserve">: </w:t>
      </w:r>
      <w:r w:rsidRPr="007D285C">
        <w:rPr>
          <w:rFonts w:ascii="Sylfaen" w:hAnsi="Sylfaen" w:cs="Helvetica"/>
          <w:sz w:val="22"/>
          <w:szCs w:val="22"/>
          <w:lang w:val="en-US"/>
        </w:rPr>
        <w:t xml:space="preserve">period of </w:t>
      </w:r>
      <w:r w:rsidR="007D285C" w:rsidRPr="007D285C">
        <w:rPr>
          <w:rFonts w:ascii="Sylfaen" w:hAnsi="Sylfaen" w:cs="Helvetica"/>
          <w:sz w:val="22"/>
          <w:szCs w:val="22"/>
          <w:lang w:val="en-US"/>
        </w:rPr>
        <w:t>January</w:t>
      </w:r>
      <w:r w:rsidR="00902589" w:rsidRPr="007D285C">
        <w:rPr>
          <w:rFonts w:ascii="Sylfaen" w:hAnsi="Sylfaen" w:cs="Helvetica"/>
          <w:sz w:val="22"/>
          <w:szCs w:val="22"/>
          <w:lang w:val="en-US"/>
        </w:rPr>
        <w:t xml:space="preserve"> </w:t>
      </w:r>
      <w:r w:rsidR="000A6661" w:rsidRPr="007D285C">
        <w:rPr>
          <w:rFonts w:ascii="Sylfaen" w:hAnsi="Sylfaen" w:cs="Helvetica"/>
          <w:sz w:val="22"/>
          <w:szCs w:val="22"/>
          <w:lang w:val="en-US"/>
        </w:rPr>
        <w:t xml:space="preserve">– </w:t>
      </w:r>
      <w:r w:rsidR="007D285C" w:rsidRPr="007D285C">
        <w:rPr>
          <w:rFonts w:ascii="Sylfaen" w:hAnsi="Sylfaen" w:cs="Helvetica"/>
          <w:sz w:val="22"/>
          <w:szCs w:val="22"/>
          <w:lang w:val="en-US"/>
        </w:rPr>
        <w:t>15</w:t>
      </w:r>
      <w:r w:rsidR="00046FDA" w:rsidRPr="007D285C">
        <w:rPr>
          <w:rFonts w:ascii="Sylfaen" w:hAnsi="Sylfaen" w:cs="Helvetica"/>
          <w:sz w:val="22"/>
          <w:szCs w:val="22"/>
          <w:lang w:val="en-US"/>
        </w:rPr>
        <w:t xml:space="preserve"> </w:t>
      </w:r>
      <w:r w:rsidR="007D285C" w:rsidRPr="007D285C">
        <w:rPr>
          <w:rFonts w:ascii="Sylfaen" w:hAnsi="Sylfaen" w:cs="Helvetica"/>
          <w:sz w:val="22"/>
          <w:szCs w:val="22"/>
          <w:lang w:val="en-US"/>
        </w:rPr>
        <w:t>March 2020</w:t>
      </w:r>
    </w:p>
    <w:p w:rsidR="00AC2D93" w:rsidRPr="002C552D" w:rsidRDefault="007D285C" w:rsidP="00AC2D93">
      <w:pPr>
        <w:jc w:val="both"/>
        <w:rPr>
          <w:rFonts w:ascii="Arial" w:hAnsi="Arial" w:cs="Arial"/>
          <w:b/>
          <w:lang w:val="en-US"/>
        </w:rPr>
      </w:pPr>
      <w:bookmarkStart w:id="0" w:name="_GoBack"/>
      <w:bookmarkEnd w:id="0"/>
      <w:r>
        <w:rPr>
          <w:rFonts w:ascii="Arial" w:hAnsi="Arial" w:cs="Arial"/>
          <w:b/>
          <w:lang w:val="en-US"/>
        </w:rPr>
        <w:t>Responsible officer</w:t>
      </w:r>
    </w:p>
    <w:p w:rsidR="00AC2D93" w:rsidRPr="002C552D" w:rsidRDefault="00AC2D93" w:rsidP="00AC2D93">
      <w:pPr>
        <w:spacing w:after="0"/>
        <w:rPr>
          <w:rFonts w:ascii="Sylfaen" w:hAnsi="Sylfaen" w:cs="Arial"/>
          <w:sz w:val="24"/>
          <w:lang w:val="en-US"/>
        </w:rPr>
      </w:pPr>
      <w:r w:rsidRPr="002C552D">
        <w:rPr>
          <w:rFonts w:ascii="Sylfaen" w:hAnsi="Sylfaen" w:cs="Arial"/>
          <w:sz w:val="24"/>
          <w:lang w:val="en-US"/>
        </w:rPr>
        <w:t>Kakha Gvinianidze</w:t>
      </w:r>
    </w:p>
    <w:p w:rsidR="00AC2D93" w:rsidRPr="002C552D" w:rsidRDefault="00AC2D93" w:rsidP="00AC2D93">
      <w:pPr>
        <w:spacing w:after="0"/>
        <w:rPr>
          <w:rFonts w:ascii="Sylfaen" w:hAnsi="Sylfaen" w:cs="Arial"/>
          <w:sz w:val="24"/>
          <w:lang w:val="en-US"/>
        </w:rPr>
      </w:pPr>
      <w:r>
        <w:rPr>
          <w:rFonts w:ascii="Sylfaen" w:hAnsi="Sylfaen" w:cs="Arial"/>
          <w:sz w:val="24"/>
          <w:lang w:val="en-US"/>
        </w:rPr>
        <w:t>National P</w:t>
      </w:r>
      <w:r w:rsidRPr="002C552D">
        <w:rPr>
          <w:rFonts w:ascii="Sylfaen" w:hAnsi="Sylfaen" w:cs="Arial"/>
          <w:sz w:val="24"/>
          <w:lang w:val="en-US"/>
        </w:rPr>
        <w:t>rofessional Officer of Tobacco Control</w:t>
      </w:r>
    </w:p>
    <w:p w:rsidR="00AC2D93" w:rsidRPr="002C552D" w:rsidRDefault="00AC2D93" w:rsidP="00AC2D93">
      <w:pPr>
        <w:spacing w:after="0"/>
        <w:rPr>
          <w:rFonts w:ascii="Sylfaen" w:hAnsi="Sylfaen" w:cs="Arial"/>
          <w:sz w:val="24"/>
          <w:lang w:val="en-US"/>
        </w:rPr>
      </w:pPr>
      <w:r w:rsidRPr="002C552D">
        <w:rPr>
          <w:rFonts w:ascii="Sylfaen" w:hAnsi="Sylfaen" w:cs="Arial"/>
          <w:sz w:val="24"/>
          <w:lang w:val="en-US"/>
        </w:rPr>
        <w:t>WHO Country Office Georgia</w:t>
      </w:r>
    </w:p>
    <w:p w:rsidR="00AC2D93" w:rsidRDefault="00AC2D93" w:rsidP="00AC2D93">
      <w:pPr>
        <w:spacing w:after="0"/>
        <w:rPr>
          <w:rFonts w:ascii="Sylfaen" w:hAnsi="Sylfaen" w:cs="Arial"/>
          <w:sz w:val="24"/>
          <w:lang w:val="en-US"/>
        </w:rPr>
      </w:pPr>
      <w:r w:rsidRPr="00504EF8">
        <w:rPr>
          <w:rFonts w:ascii="Sylfaen" w:hAnsi="Sylfaen" w:cs="Arial"/>
          <w:sz w:val="24"/>
          <w:lang w:val="en-US"/>
        </w:rPr>
        <w:t>Office: Barnov Str. 81, 0179 Tbilisi</w:t>
      </w:r>
      <w:r w:rsidRPr="002C552D">
        <w:rPr>
          <w:rFonts w:ascii="Sylfaen" w:hAnsi="Sylfaen" w:cs="Arial"/>
          <w:sz w:val="24"/>
          <w:lang w:val="en-US"/>
        </w:rPr>
        <w:t xml:space="preserve"> </w:t>
      </w:r>
    </w:p>
    <w:p w:rsidR="00AC2D93" w:rsidRPr="00F73D90" w:rsidRDefault="00AC2D93" w:rsidP="00AC2D93">
      <w:pPr>
        <w:spacing w:after="0"/>
        <w:rPr>
          <w:rFonts w:ascii="Sylfaen" w:hAnsi="Sylfaen" w:cs="Arial"/>
          <w:sz w:val="24"/>
          <w:lang w:val="de-DE"/>
        </w:rPr>
      </w:pPr>
      <w:r w:rsidRPr="00F73D90">
        <w:rPr>
          <w:rFonts w:ascii="Sylfaen" w:hAnsi="Sylfaen" w:cs="Arial"/>
          <w:sz w:val="24"/>
          <w:lang w:val="de-DE"/>
        </w:rPr>
        <w:t>Tel.:    +995 32 2998073</w:t>
      </w:r>
    </w:p>
    <w:p w:rsidR="00AC2D93" w:rsidRPr="00F73D90" w:rsidRDefault="00AC2D93" w:rsidP="00AC2D93">
      <w:pPr>
        <w:spacing w:after="0"/>
        <w:ind w:firstLine="720"/>
        <w:rPr>
          <w:rFonts w:ascii="Sylfaen" w:hAnsi="Sylfaen" w:cs="Arial"/>
          <w:sz w:val="24"/>
          <w:lang w:val="de-DE"/>
        </w:rPr>
      </w:pPr>
      <w:r w:rsidRPr="00F73D90">
        <w:rPr>
          <w:rFonts w:ascii="Sylfaen" w:hAnsi="Sylfaen" w:cs="Arial"/>
          <w:sz w:val="24"/>
          <w:lang w:val="de-DE"/>
        </w:rPr>
        <w:t>+995599920760</w:t>
      </w:r>
    </w:p>
    <w:p w:rsidR="00504EF8" w:rsidRPr="00AC2D93" w:rsidRDefault="00AC2D93" w:rsidP="00AC2D93">
      <w:pPr>
        <w:pStyle w:val="Footer"/>
        <w:tabs>
          <w:tab w:val="center" w:pos="9361"/>
        </w:tabs>
        <w:rPr>
          <w:rFonts w:ascii="Arial" w:hAnsi="Arial" w:cs="Arial"/>
          <w:sz w:val="24"/>
          <w:szCs w:val="24"/>
          <w:lang w:val="de-DE"/>
        </w:rPr>
      </w:pPr>
      <w:r w:rsidRPr="00F73D90">
        <w:rPr>
          <w:rFonts w:ascii="Sylfaen" w:hAnsi="Sylfaen" w:cs="Arial"/>
          <w:sz w:val="24"/>
          <w:lang w:val="de-DE"/>
        </w:rPr>
        <w:t>E-mail:</w:t>
      </w:r>
      <w:r w:rsidRPr="00F73D90">
        <w:rPr>
          <w:rFonts w:ascii="Arial" w:hAnsi="Arial" w:cs="Arial"/>
          <w:bCs/>
          <w:color w:val="000000" w:themeColor="text1"/>
          <w:sz w:val="24"/>
          <w:szCs w:val="24"/>
          <w:lang w:val="de-DE"/>
        </w:rPr>
        <w:t xml:space="preserve"> </w:t>
      </w:r>
      <w:hyperlink r:id="rId8" w:history="1">
        <w:r w:rsidRPr="00F73D90">
          <w:rPr>
            <w:rStyle w:val="Hyperlink"/>
            <w:rFonts w:ascii="Arial" w:hAnsi="Arial" w:cs="Arial"/>
            <w:bCs/>
            <w:sz w:val="24"/>
            <w:szCs w:val="24"/>
            <w:lang w:val="de-DE"/>
          </w:rPr>
          <w:t>gvinianidzek@who.int</w:t>
        </w:r>
      </w:hyperlink>
      <w:r w:rsidRPr="00F73D90">
        <w:rPr>
          <w:rFonts w:ascii="Arial" w:hAnsi="Arial" w:cs="Arial"/>
          <w:bCs/>
          <w:color w:val="000000" w:themeColor="text1"/>
          <w:sz w:val="24"/>
          <w:szCs w:val="24"/>
          <w:lang w:val="de-DE"/>
        </w:rPr>
        <w:t xml:space="preserve"> </w:t>
      </w:r>
    </w:p>
    <w:sectPr w:rsidR="00504EF8" w:rsidRPr="00AC2D93" w:rsidSect="002C55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83B" w:rsidRDefault="001C583B" w:rsidP="004D3A7F">
      <w:pPr>
        <w:spacing w:after="0" w:line="240" w:lineRule="auto"/>
      </w:pPr>
      <w:r>
        <w:separator/>
      </w:r>
    </w:p>
  </w:endnote>
  <w:endnote w:type="continuationSeparator" w:id="0">
    <w:p w:rsidR="001C583B" w:rsidRDefault="001C583B" w:rsidP="004D3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83B" w:rsidRDefault="001C583B" w:rsidP="004D3A7F">
      <w:pPr>
        <w:spacing w:after="0" w:line="240" w:lineRule="auto"/>
      </w:pPr>
      <w:r>
        <w:separator/>
      </w:r>
    </w:p>
  </w:footnote>
  <w:footnote w:type="continuationSeparator" w:id="0">
    <w:p w:rsidR="001C583B" w:rsidRDefault="001C583B" w:rsidP="004D3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FB6A1D"/>
    <w:multiLevelType w:val="hybridMultilevel"/>
    <w:tmpl w:val="2C307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22F"/>
    <w:rsid w:val="00001132"/>
    <w:rsid w:val="00001B47"/>
    <w:rsid w:val="00010709"/>
    <w:rsid w:val="0002012E"/>
    <w:rsid w:val="00025FC8"/>
    <w:rsid w:val="00043A64"/>
    <w:rsid w:val="00043C7E"/>
    <w:rsid w:val="00046FDA"/>
    <w:rsid w:val="00062D0A"/>
    <w:rsid w:val="00071427"/>
    <w:rsid w:val="00071E96"/>
    <w:rsid w:val="000758EF"/>
    <w:rsid w:val="0007662B"/>
    <w:rsid w:val="00076E4C"/>
    <w:rsid w:val="00094B96"/>
    <w:rsid w:val="000A135C"/>
    <w:rsid w:val="000A34A7"/>
    <w:rsid w:val="000A6661"/>
    <w:rsid w:val="000B48F2"/>
    <w:rsid w:val="000B7762"/>
    <w:rsid w:val="000C0BF9"/>
    <w:rsid w:val="000C324F"/>
    <w:rsid w:val="000D0F15"/>
    <w:rsid w:val="000D281C"/>
    <w:rsid w:val="000D3DCE"/>
    <w:rsid w:val="000D418E"/>
    <w:rsid w:val="000D4A7B"/>
    <w:rsid w:val="000D5440"/>
    <w:rsid w:val="000E4C52"/>
    <w:rsid w:val="000E5B9D"/>
    <w:rsid w:val="000E7B8E"/>
    <w:rsid w:val="000F27D8"/>
    <w:rsid w:val="000F364D"/>
    <w:rsid w:val="000F521F"/>
    <w:rsid w:val="000F5837"/>
    <w:rsid w:val="000F73F5"/>
    <w:rsid w:val="00106F20"/>
    <w:rsid w:val="001140F5"/>
    <w:rsid w:val="00131873"/>
    <w:rsid w:val="00132104"/>
    <w:rsid w:val="001412F2"/>
    <w:rsid w:val="0014295B"/>
    <w:rsid w:val="00144E94"/>
    <w:rsid w:val="00157002"/>
    <w:rsid w:val="00157449"/>
    <w:rsid w:val="001724FB"/>
    <w:rsid w:val="00185906"/>
    <w:rsid w:val="0019412C"/>
    <w:rsid w:val="001964F2"/>
    <w:rsid w:val="001A065E"/>
    <w:rsid w:val="001B1DCA"/>
    <w:rsid w:val="001C583B"/>
    <w:rsid w:val="001F61A2"/>
    <w:rsid w:val="00213F5E"/>
    <w:rsid w:val="00217415"/>
    <w:rsid w:val="00241603"/>
    <w:rsid w:val="00242483"/>
    <w:rsid w:val="00250BF4"/>
    <w:rsid w:val="002635F3"/>
    <w:rsid w:val="0026486D"/>
    <w:rsid w:val="002939C9"/>
    <w:rsid w:val="00295F68"/>
    <w:rsid w:val="002A6222"/>
    <w:rsid w:val="002C05F7"/>
    <w:rsid w:val="002C06E5"/>
    <w:rsid w:val="002C552D"/>
    <w:rsid w:val="002C662F"/>
    <w:rsid w:val="002E17B3"/>
    <w:rsid w:val="002F79EC"/>
    <w:rsid w:val="00323562"/>
    <w:rsid w:val="00342F28"/>
    <w:rsid w:val="00345B24"/>
    <w:rsid w:val="00364B4B"/>
    <w:rsid w:val="0036505B"/>
    <w:rsid w:val="00367387"/>
    <w:rsid w:val="00372BFE"/>
    <w:rsid w:val="00372D84"/>
    <w:rsid w:val="003743D8"/>
    <w:rsid w:val="00374924"/>
    <w:rsid w:val="00376F57"/>
    <w:rsid w:val="00380168"/>
    <w:rsid w:val="003816F2"/>
    <w:rsid w:val="003A31E2"/>
    <w:rsid w:val="003B23B4"/>
    <w:rsid w:val="003B4328"/>
    <w:rsid w:val="003C1127"/>
    <w:rsid w:val="003E14D2"/>
    <w:rsid w:val="003E164B"/>
    <w:rsid w:val="003F5C9B"/>
    <w:rsid w:val="003F7339"/>
    <w:rsid w:val="004054FE"/>
    <w:rsid w:val="00412623"/>
    <w:rsid w:val="00412D73"/>
    <w:rsid w:val="004147AB"/>
    <w:rsid w:val="00427CBE"/>
    <w:rsid w:val="00431966"/>
    <w:rsid w:val="00444A34"/>
    <w:rsid w:val="00450830"/>
    <w:rsid w:val="00450B9A"/>
    <w:rsid w:val="0045243F"/>
    <w:rsid w:val="00454E05"/>
    <w:rsid w:val="00457258"/>
    <w:rsid w:val="00460AE1"/>
    <w:rsid w:val="004610A9"/>
    <w:rsid w:val="00481FE9"/>
    <w:rsid w:val="0048635F"/>
    <w:rsid w:val="00486883"/>
    <w:rsid w:val="00490D90"/>
    <w:rsid w:val="004951D9"/>
    <w:rsid w:val="00495EA1"/>
    <w:rsid w:val="004A5F19"/>
    <w:rsid w:val="004D1E6E"/>
    <w:rsid w:val="004D3A7F"/>
    <w:rsid w:val="004D4613"/>
    <w:rsid w:val="004D7313"/>
    <w:rsid w:val="004D74AB"/>
    <w:rsid w:val="004E0B49"/>
    <w:rsid w:val="004F7D33"/>
    <w:rsid w:val="00500580"/>
    <w:rsid w:val="0050413C"/>
    <w:rsid w:val="00504EF8"/>
    <w:rsid w:val="0050656E"/>
    <w:rsid w:val="005075A1"/>
    <w:rsid w:val="00520428"/>
    <w:rsid w:val="00526AD7"/>
    <w:rsid w:val="005270EF"/>
    <w:rsid w:val="00544AD5"/>
    <w:rsid w:val="005555C6"/>
    <w:rsid w:val="00573103"/>
    <w:rsid w:val="00591D61"/>
    <w:rsid w:val="00592910"/>
    <w:rsid w:val="0059602C"/>
    <w:rsid w:val="005A0431"/>
    <w:rsid w:val="005A2F72"/>
    <w:rsid w:val="005A6C89"/>
    <w:rsid w:val="005A6F64"/>
    <w:rsid w:val="005B428F"/>
    <w:rsid w:val="005C531C"/>
    <w:rsid w:val="005C5B58"/>
    <w:rsid w:val="00623B82"/>
    <w:rsid w:val="006311BE"/>
    <w:rsid w:val="0063206C"/>
    <w:rsid w:val="00643DE3"/>
    <w:rsid w:val="0064728F"/>
    <w:rsid w:val="00651EDB"/>
    <w:rsid w:val="00653678"/>
    <w:rsid w:val="00654ACE"/>
    <w:rsid w:val="00660967"/>
    <w:rsid w:val="006774B2"/>
    <w:rsid w:val="006858EF"/>
    <w:rsid w:val="00685FA1"/>
    <w:rsid w:val="00686987"/>
    <w:rsid w:val="0069101D"/>
    <w:rsid w:val="006C296D"/>
    <w:rsid w:val="006C452D"/>
    <w:rsid w:val="006C651F"/>
    <w:rsid w:val="006D3AC6"/>
    <w:rsid w:val="006E1A53"/>
    <w:rsid w:val="006F4597"/>
    <w:rsid w:val="006F7AD6"/>
    <w:rsid w:val="007001F9"/>
    <w:rsid w:val="0070129A"/>
    <w:rsid w:val="0070357D"/>
    <w:rsid w:val="00705467"/>
    <w:rsid w:val="0070665B"/>
    <w:rsid w:val="00710589"/>
    <w:rsid w:val="0071128B"/>
    <w:rsid w:val="007202AE"/>
    <w:rsid w:val="0072662F"/>
    <w:rsid w:val="00746E91"/>
    <w:rsid w:val="00754BEB"/>
    <w:rsid w:val="00795E39"/>
    <w:rsid w:val="007A1C29"/>
    <w:rsid w:val="007A2BD6"/>
    <w:rsid w:val="007A645D"/>
    <w:rsid w:val="007B1DBE"/>
    <w:rsid w:val="007B7ADC"/>
    <w:rsid w:val="007C617B"/>
    <w:rsid w:val="007D285C"/>
    <w:rsid w:val="007D6D33"/>
    <w:rsid w:val="007F3B28"/>
    <w:rsid w:val="008032A3"/>
    <w:rsid w:val="00806E34"/>
    <w:rsid w:val="00814C06"/>
    <w:rsid w:val="00825864"/>
    <w:rsid w:val="0083550B"/>
    <w:rsid w:val="00835AFE"/>
    <w:rsid w:val="00841609"/>
    <w:rsid w:val="008450AB"/>
    <w:rsid w:val="00880FC7"/>
    <w:rsid w:val="008835BE"/>
    <w:rsid w:val="00897FBD"/>
    <w:rsid w:val="008A5243"/>
    <w:rsid w:val="008B0EDC"/>
    <w:rsid w:val="008B1B4C"/>
    <w:rsid w:val="008B5F4B"/>
    <w:rsid w:val="008B696B"/>
    <w:rsid w:val="008B6CF5"/>
    <w:rsid w:val="008D344E"/>
    <w:rsid w:val="008D641C"/>
    <w:rsid w:val="008D71D1"/>
    <w:rsid w:val="008E7065"/>
    <w:rsid w:val="008F5376"/>
    <w:rsid w:val="00901C4F"/>
    <w:rsid w:val="00902589"/>
    <w:rsid w:val="0091181F"/>
    <w:rsid w:val="009158F5"/>
    <w:rsid w:val="00917680"/>
    <w:rsid w:val="00925655"/>
    <w:rsid w:val="00931E52"/>
    <w:rsid w:val="00932A80"/>
    <w:rsid w:val="00932CE1"/>
    <w:rsid w:val="009350A4"/>
    <w:rsid w:val="00940ACC"/>
    <w:rsid w:val="00943766"/>
    <w:rsid w:val="009515D7"/>
    <w:rsid w:val="00963E2E"/>
    <w:rsid w:val="00971A51"/>
    <w:rsid w:val="00975162"/>
    <w:rsid w:val="00994DE5"/>
    <w:rsid w:val="00996422"/>
    <w:rsid w:val="009973CC"/>
    <w:rsid w:val="009A3B8E"/>
    <w:rsid w:val="009B1EDF"/>
    <w:rsid w:val="009C16B2"/>
    <w:rsid w:val="009D0B14"/>
    <w:rsid w:val="009D6165"/>
    <w:rsid w:val="009D794D"/>
    <w:rsid w:val="009E7309"/>
    <w:rsid w:val="009F1684"/>
    <w:rsid w:val="009F703D"/>
    <w:rsid w:val="00A00B88"/>
    <w:rsid w:val="00A0788B"/>
    <w:rsid w:val="00A12B47"/>
    <w:rsid w:val="00A24303"/>
    <w:rsid w:val="00A248EB"/>
    <w:rsid w:val="00A32866"/>
    <w:rsid w:val="00A51DFC"/>
    <w:rsid w:val="00A64EC8"/>
    <w:rsid w:val="00A8102E"/>
    <w:rsid w:val="00AA0AF2"/>
    <w:rsid w:val="00AA2166"/>
    <w:rsid w:val="00AB12DA"/>
    <w:rsid w:val="00AB3722"/>
    <w:rsid w:val="00AC2D93"/>
    <w:rsid w:val="00AC793A"/>
    <w:rsid w:val="00AD0C37"/>
    <w:rsid w:val="00AD493B"/>
    <w:rsid w:val="00AD7CB9"/>
    <w:rsid w:val="00AE4699"/>
    <w:rsid w:val="00AE4B56"/>
    <w:rsid w:val="00AE5176"/>
    <w:rsid w:val="00AE6B10"/>
    <w:rsid w:val="00AF18FF"/>
    <w:rsid w:val="00AF2DEA"/>
    <w:rsid w:val="00B1499B"/>
    <w:rsid w:val="00B45F58"/>
    <w:rsid w:val="00B64E3A"/>
    <w:rsid w:val="00B7054A"/>
    <w:rsid w:val="00B70EA3"/>
    <w:rsid w:val="00B7432E"/>
    <w:rsid w:val="00B9363D"/>
    <w:rsid w:val="00B9424C"/>
    <w:rsid w:val="00B97CF8"/>
    <w:rsid w:val="00BA2774"/>
    <w:rsid w:val="00BC1599"/>
    <w:rsid w:val="00BE2FD7"/>
    <w:rsid w:val="00BE77BA"/>
    <w:rsid w:val="00BF3CEF"/>
    <w:rsid w:val="00C06D22"/>
    <w:rsid w:val="00C112C5"/>
    <w:rsid w:val="00C2151E"/>
    <w:rsid w:val="00C42C66"/>
    <w:rsid w:val="00C47D0A"/>
    <w:rsid w:val="00C614FC"/>
    <w:rsid w:val="00C76CE8"/>
    <w:rsid w:val="00C77F8C"/>
    <w:rsid w:val="00C828CD"/>
    <w:rsid w:val="00C8373A"/>
    <w:rsid w:val="00C873AF"/>
    <w:rsid w:val="00C97913"/>
    <w:rsid w:val="00CA2C0F"/>
    <w:rsid w:val="00CB06FE"/>
    <w:rsid w:val="00CB09C5"/>
    <w:rsid w:val="00CB2832"/>
    <w:rsid w:val="00CB3CF0"/>
    <w:rsid w:val="00CB49A2"/>
    <w:rsid w:val="00CB735D"/>
    <w:rsid w:val="00CB7D3B"/>
    <w:rsid w:val="00CC5C6D"/>
    <w:rsid w:val="00CD4118"/>
    <w:rsid w:val="00CD4C07"/>
    <w:rsid w:val="00CD603F"/>
    <w:rsid w:val="00CE5B83"/>
    <w:rsid w:val="00CF65BB"/>
    <w:rsid w:val="00D027B1"/>
    <w:rsid w:val="00D031F5"/>
    <w:rsid w:val="00D043E7"/>
    <w:rsid w:val="00D17650"/>
    <w:rsid w:val="00D203E5"/>
    <w:rsid w:val="00D220F2"/>
    <w:rsid w:val="00D41F84"/>
    <w:rsid w:val="00D50BAC"/>
    <w:rsid w:val="00D5222F"/>
    <w:rsid w:val="00D55968"/>
    <w:rsid w:val="00D559D2"/>
    <w:rsid w:val="00D7150D"/>
    <w:rsid w:val="00D83522"/>
    <w:rsid w:val="00DA011D"/>
    <w:rsid w:val="00DA0472"/>
    <w:rsid w:val="00DA26A8"/>
    <w:rsid w:val="00DB5421"/>
    <w:rsid w:val="00DC6389"/>
    <w:rsid w:val="00DD059B"/>
    <w:rsid w:val="00DD5E1C"/>
    <w:rsid w:val="00DD68BA"/>
    <w:rsid w:val="00DE167E"/>
    <w:rsid w:val="00DE2951"/>
    <w:rsid w:val="00DE4D08"/>
    <w:rsid w:val="00DE639F"/>
    <w:rsid w:val="00DF4E5E"/>
    <w:rsid w:val="00E07365"/>
    <w:rsid w:val="00E12109"/>
    <w:rsid w:val="00E20F1B"/>
    <w:rsid w:val="00E22CF5"/>
    <w:rsid w:val="00E44C9C"/>
    <w:rsid w:val="00E46B0A"/>
    <w:rsid w:val="00E46C51"/>
    <w:rsid w:val="00E51387"/>
    <w:rsid w:val="00E62461"/>
    <w:rsid w:val="00E635B2"/>
    <w:rsid w:val="00E72B5F"/>
    <w:rsid w:val="00E76D05"/>
    <w:rsid w:val="00E832E9"/>
    <w:rsid w:val="00E90146"/>
    <w:rsid w:val="00E91359"/>
    <w:rsid w:val="00E97ADF"/>
    <w:rsid w:val="00E97F6A"/>
    <w:rsid w:val="00EA1707"/>
    <w:rsid w:val="00EA5434"/>
    <w:rsid w:val="00EB0F58"/>
    <w:rsid w:val="00EB57D3"/>
    <w:rsid w:val="00EC370B"/>
    <w:rsid w:val="00EC4F21"/>
    <w:rsid w:val="00EE10AF"/>
    <w:rsid w:val="00EE5216"/>
    <w:rsid w:val="00EE60CC"/>
    <w:rsid w:val="00EE64B6"/>
    <w:rsid w:val="00F10948"/>
    <w:rsid w:val="00F20E8F"/>
    <w:rsid w:val="00F33802"/>
    <w:rsid w:val="00F33BFF"/>
    <w:rsid w:val="00F376BF"/>
    <w:rsid w:val="00F37D7B"/>
    <w:rsid w:val="00F45660"/>
    <w:rsid w:val="00F67BC9"/>
    <w:rsid w:val="00F8788C"/>
    <w:rsid w:val="00F87D22"/>
    <w:rsid w:val="00F93C49"/>
    <w:rsid w:val="00FB65BF"/>
    <w:rsid w:val="00FC1163"/>
    <w:rsid w:val="00FD25A0"/>
    <w:rsid w:val="00FD2F7D"/>
    <w:rsid w:val="00FD5EFB"/>
    <w:rsid w:val="00FF2A8C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314F3"/>
  <w15:docId w15:val="{43E4749F-A0F2-4F6B-8259-A80AE5C1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222F"/>
    <w:rPr>
      <w:rFonts w:eastAsiaTheme="minorHAnsi"/>
      <w:lang w:val="ru-RU" w:eastAsia="en-US"/>
    </w:rPr>
  </w:style>
  <w:style w:type="paragraph" w:styleId="Heading1">
    <w:name w:val="heading 1"/>
    <w:basedOn w:val="Normal"/>
    <w:link w:val="Heading1Char"/>
    <w:uiPriority w:val="9"/>
    <w:qFormat/>
    <w:rsid w:val="00651E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9082164126msonormal">
    <w:name w:val="yiv9082164126msonormal"/>
    <w:basedOn w:val="Normal"/>
    <w:rsid w:val="00D52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cxs1">
    <w:name w:val="ecxs1"/>
    <w:rsid w:val="00D5222F"/>
  </w:style>
  <w:style w:type="paragraph" w:styleId="BalloonText">
    <w:name w:val="Balloon Text"/>
    <w:basedOn w:val="Normal"/>
    <w:link w:val="BalloonTextChar"/>
    <w:uiPriority w:val="99"/>
    <w:semiHidden/>
    <w:unhideWhenUsed/>
    <w:rsid w:val="00544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AD5"/>
    <w:rPr>
      <w:rFonts w:ascii="Tahoma" w:eastAsiaTheme="minorHAnsi" w:hAnsi="Tahoma" w:cs="Tahoma"/>
      <w:sz w:val="16"/>
      <w:szCs w:val="16"/>
      <w:lang w:val="ru-RU" w:eastAsia="en-US"/>
    </w:rPr>
  </w:style>
  <w:style w:type="paragraph" w:styleId="NormalWeb">
    <w:name w:val="Normal (Web)"/>
    <w:basedOn w:val="Normal"/>
    <w:uiPriority w:val="99"/>
    <w:semiHidden/>
    <w:unhideWhenUsed/>
    <w:rsid w:val="00651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styleId="Hyperlink">
    <w:name w:val="Hyperlink"/>
    <w:basedOn w:val="DefaultParagraphFont"/>
    <w:unhideWhenUsed/>
    <w:rsid w:val="00651EDB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51ED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D3A7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D3A7F"/>
    <w:rPr>
      <w:rFonts w:eastAsiaTheme="minorHAnsi"/>
      <w:sz w:val="20"/>
      <w:szCs w:val="20"/>
      <w:lang w:val="ru-RU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4D3A7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D3A7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3A7F"/>
    <w:rPr>
      <w:rFonts w:eastAsiaTheme="minorHAnsi"/>
      <w:sz w:val="20"/>
      <w:szCs w:val="20"/>
      <w:lang w:val="ru-RU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D3A7F"/>
    <w:rPr>
      <w:vertAlign w:val="superscript"/>
    </w:rPr>
  </w:style>
  <w:style w:type="paragraph" w:styleId="Footer">
    <w:name w:val="footer"/>
    <w:basedOn w:val="Normal"/>
    <w:link w:val="FooterChar"/>
    <w:unhideWhenUsed/>
    <w:rsid w:val="002C552D"/>
    <w:pPr>
      <w:tabs>
        <w:tab w:val="center" w:pos="4513"/>
        <w:tab w:val="right" w:pos="9026"/>
      </w:tabs>
      <w:spacing w:after="0" w:line="240" w:lineRule="auto"/>
    </w:pPr>
    <w:rPr>
      <w:lang w:val="fr-FR"/>
    </w:rPr>
  </w:style>
  <w:style w:type="character" w:customStyle="1" w:styleId="FooterChar">
    <w:name w:val="Footer Char"/>
    <w:basedOn w:val="DefaultParagraphFont"/>
    <w:link w:val="Footer"/>
    <w:rsid w:val="002C552D"/>
    <w:rPr>
      <w:rFonts w:eastAsiaTheme="minorHAnsi"/>
      <w:lang w:val="fr-FR" w:eastAsia="en-US"/>
    </w:rPr>
  </w:style>
  <w:style w:type="paragraph" w:styleId="Header">
    <w:name w:val="header"/>
    <w:basedOn w:val="Normal"/>
    <w:link w:val="HeaderChar"/>
    <w:rsid w:val="008B1B4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rsid w:val="008B1B4C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NoSpacing">
    <w:name w:val="No Spacing"/>
    <w:uiPriority w:val="1"/>
    <w:qFormat/>
    <w:rsid w:val="00AB12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201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77707">
              <w:marLeft w:val="0"/>
              <w:marRight w:val="0"/>
              <w:marTop w:val="0"/>
              <w:marBottom w:val="0"/>
              <w:divBdr>
                <w:top w:val="single" w:sz="6" w:space="0" w:color="7F7F7F"/>
                <w:left w:val="single" w:sz="6" w:space="0" w:color="7F7F7F"/>
                <w:bottom w:val="single" w:sz="6" w:space="31" w:color="7F7F7F"/>
                <w:right w:val="single" w:sz="6" w:space="0" w:color="7F7F7F"/>
              </w:divBdr>
              <w:divsChild>
                <w:div w:id="87349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5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1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3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020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357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9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427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70079">
              <w:marLeft w:val="0"/>
              <w:marRight w:val="0"/>
              <w:marTop w:val="0"/>
              <w:marBottom w:val="0"/>
              <w:divBdr>
                <w:top w:val="single" w:sz="6" w:space="0" w:color="7F7F7F"/>
                <w:left w:val="single" w:sz="6" w:space="0" w:color="7F7F7F"/>
                <w:bottom w:val="single" w:sz="6" w:space="31" w:color="7F7F7F"/>
                <w:right w:val="single" w:sz="6" w:space="0" w:color="7F7F7F"/>
              </w:divBdr>
              <w:divsChild>
                <w:div w:id="110549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21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9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543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111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897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3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vinianidzek@who.i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FFF47-9918-443C-B328-E160B9F15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WHO</Company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GVINIANIDZE, Kakha</dc:creator>
  <cp:lastModifiedBy>GVINIANIDZE, Kakha</cp:lastModifiedBy>
  <cp:revision>4</cp:revision>
  <dcterms:created xsi:type="dcterms:W3CDTF">2020-01-17T07:21:00Z</dcterms:created>
  <dcterms:modified xsi:type="dcterms:W3CDTF">2020-02-03T07:05:00Z</dcterms:modified>
</cp:coreProperties>
</file>